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92892" w14:textId="174E0363" w:rsidR="00F94275" w:rsidRDefault="00CA37C7" w:rsidP="00F942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ATTACHMENT </w:t>
      </w:r>
      <w:r w:rsidR="00F560BD">
        <w:rPr>
          <w:rFonts w:ascii="Arial" w:hAnsi="Arial" w:cs="Arial"/>
          <w:b/>
          <w:sz w:val="24"/>
          <w:szCs w:val="24"/>
        </w:rPr>
        <w:t>A</w:t>
      </w:r>
      <w:r w:rsidR="00F94275">
        <w:rPr>
          <w:rFonts w:ascii="Arial" w:hAnsi="Arial" w:cs="Arial"/>
          <w:b/>
          <w:sz w:val="24"/>
          <w:szCs w:val="24"/>
        </w:rPr>
        <w:t xml:space="preserve"> </w:t>
      </w:r>
      <w:r w:rsidR="00DE7A34">
        <w:rPr>
          <w:rFonts w:ascii="Arial" w:hAnsi="Arial" w:cs="Arial"/>
          <w:b/>
          <w:sz w:val="24"/>
          <w:szCs w:val="24"/>
        </w:rPr>
        <w:t>–</w:t>
      </w:r>
      <w:r w:rsidR="00F94275">
        <w:rPr>
          <w:rFonts w:ascii="Arial" w:hAnsi="Arial" w:cs="Arial"/>
          <w:b/>
          <w:sz w:val="24"/>
          <w:szCs w:val="24"/>
        </w:rPr>
        <w:t xml:space="preserve"> </w:t>
      </w:r>
      <w:r w:rsidR="00DE7A34">
        <w:rPr>
          <w:rFonts w:ascii="Arial" w:hAnsi="Arial" w:cs="Arial"/>
          <w:b/>
          <w:sz w:val="24"/>
          <w:szCs w:val="24"/>
        </w:rPr>
        <w:t xml:space="preserve">CONTACT TRACING </w:t>
      </w:r>
      <w:r w:rsidR="00F94275" w:rsidRPr="00F94275">
        <w:rPr>
          <w:rFonts w:ascii="Arial" w:hAnsi="Arial" w:cs="Arial"/>
          <w:b/>
          <w:sz w:val="24"/>
          <w:szCs w:val="24"/>
        </w:rPr>
        <w:t>S</w:t>
      </w:r>
      <w:r w:rsidR="00F94275">
        <w:rPr>
          <w:rFonts w:ascii="Arial" w:hAnsi="Arial" w:cs="Arial"/>
          <w:b/>
          <w:sz w:val="24"/>
          <w:szCs w:val="24"/>
        </w:rPr>
        <w:t>CHEDULE</w:t>
      </w:r>
    </w:p>
    <w:p w14:paraId="26E4A47D" w14:textId="72CABDF8" w:rsidR="00AF36A2" w:rsidRDefault="00AF36A2" w:rsidP="00F9427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RFP 6416 Z1</w:t>
      </w:r>
    </w:p>
    <w:p w14:paraId="607E3C93" w14:textId="77777777" w:rsidR="00AF36A2" w:rsidRPr="00F94275" w:rsidRDefault="00AF36A2" w:rsidP="00F94275">
      <w:pPr>
        <w:jc w:val="center"/>
        <w:rPr>
          <w:rFonts w:ascii="Arial" w:hAnsi="Arial" w:cs="Arial"/>
          <w:b/>
          <w:sz w:val="24"/>
          <w:szCs w:val="24"/>
        </w:rPr>
      </w:pPr>
    </w:p>
    <w:p w14:paraId="565BDD88" w14:textId="4AA58869" w:rsidR="00F94275" w:rsidRDefault="00F94275" w:rsidP="00F94275">
      <w:pPr>
        <w:jc w:val="both"/>
        <w:rPr>
          <w:rFonts w:ascii="Arial" w:hAnsi="Arial" w:cs="Arial"/>
          <w:sz w:val="20"/>
          <w:szCs w:val="20"/>
        </w:rPr>
      </w:pPr>
      <w:r w:rsidRPr="00F94275">
        <w:rPr>
          <w:rFonts w:ascii="Arial" w:hAnsi="Arial" w:cs="Arial"/>
          <w:sz w:val="20"/>
          <w:szCs w:val="20"/>
          <w:u w:val="single"/>
        </w:rPr>
        <w:t>Purpose</w:t>
      </w:r>
      <w:r>
        <w:rPr>
          <w:rFonts w:ascii="Arial" w:hAnsi="Arial" w:cs="Arial"/>
          <w:sz w:val="20"/>
          <w:szCs w:val="20"/>
        </w:rPr>
        <w:t>: This document is for pl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anning </w:t>
      </w:r>
      <w:r w:rsidR="00CA6755">
        <w:rPr>
          <w:rFonts w:ascii="Arial" w:hAnsi="Arial" w:cs="Arial"/>
          <w:sz w:val="20"/>
          <w:szCs w:val="20"/>
        </w:rPr>
        <w:t xml:space="preserve">and organizational </w:t>
      </w:r>
      <w:r>
        <w:rPr>
          <w:rFonts w:ascii="Arial" w:hAnsi="Arial" w:cs="Arial"/>
          <w:sz w:val="20"/>
          <w:szCs w:val="20"/>
        </w:rPr>
        <w:t>purposes</w:t>
      </w:r>
      <w:r w:rsidR="00CA675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so the </w:t>
      </w:r>
      <w:r w:rsidR="00CA675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arties may adjust and allocate resources to effectively carry out the purpose of the </w:t>
      </w:r>
      <w:r w:rsidR="002A6F9B">
        <w:rPr>
          <w:rFonts w:ascii="Arial" w:hAnsi="Arial" w:cs="Arial"/>
          <w:sz w:val="20"/>
          <w:szCs w:val="20"/>
        </w:rPr>
        <w:t>RFP</w:t>
      </w:r>
      <w:r>
        <w:rPr>
          <w:rFonts w:ascii="Arial" w:hAnsi="Arial" w:cs="Arial"/>
          <w:sz w:val="20"/>
          <w:szCs w:val="20"/>
        </w:rPr>
        <w:t>.</w:t>
      </w:r>
    </w:p>
    <w:p w14:paraId="1D4E9E9F" w14:textId="686CA663" w:rsidR="00CA6755" w:rsidRPr="00CA6755" w:rsidRDefault="00F94275" w:rsidP="00F942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Updates</w:t>
      </w:r>
      <w:r>
        <w:rPr>
          <w:rFonts w:ascii="Arial" w:hAnsi="Arial" w:cs="Arial"/>
          <w:sz w:val="20"/>
          <w:szCs w:val="20"/>
        </w:rPr>
        <w:t xml:space="preserve">: Because of the fluctuating nature of the COVID-19 pandemic, this document will be updated by the Parties as needs arise. It may be updated without a formal signed amendment </w:t>
      </w:r>
      <w:r w:rsidRPr="002A6F9B">
        <w:rPr>
          <w:rFonts w:ascii="Arial" w:hAnsi="Arial" w:cs="Arial"/>
          <w:sz w:val="20"/>
          <w:szCs w:val="20"/>
        </w:rPr>
        <w:t xml:space="preserve">or addendum by the </w:t>
      </w:r>
      <w:proofErr w:type="gramStart"/>
      <w:r w:rsidRPr="002A6F9B">
        <w:rPr>
          <w:rFonts w:ascii="Arial" w:hAnsi="Arial" w:cs="Arial"/>
          <w:sz w:val="20"/>
          <w:szCs w:val="20"/>
        </w:rPr>
        <w:t>parties, but</w:t>
      </w:r>
      <w:proofErr w:type="gramEnd"/>
      <w:r w:rsidRPr="002A6F9B">
        <w:rPr>
          <w:rFonts w:ascii="Arial" w:hAnsi="Arial" w:cs="Arial"/>
          <w:sz w:val="20"/>
          <w:szCs w:val="20"/>
        </w:rPr>
        <w:t xml:space="preserve"> </w:t>
      </w:r>
      <w:r w:rsidR="000D1B06" w:rsidRPr="002A6F9B">
        <w:rPr>
          <w:rFonts w:ascii="Arial" w:hAnsi="Arial" w:cs="Arial"/>
          <w:sz w:val="20"/>
          <w:szCs w:val="20"/>
        </w:rPr>
        <w:t>may only</w:t>
      </w:r>
      <w:r w:rsidRPr="002A6F9B">
        <w:rPr>
          <w:rFonts w:ascii="Arial" w:hAnsi="Arial" w:cs="Arial"/>
          <w:sz w:val="20"/>
          <w:szCs w:val="20"/>
        </w:rPr>
        <w:t xml:space="preserve"> be modified through written exchange of emails by the Points of Contact established per Section </w:t>
      </w:r>
      <w:r w:rsidR="002A6F9B" w:rsidRPr="002A6F9B">
        <w:rPr>
          <w:rFonts w:ascii="Arial" w:hAnsi="Arial" w:cs="Arial"/>
          <w:sz w:val="20"/>
          <w:szCs w:val="20"/>
        </w:rPr>
        <w:t>V.E</w:t>
      </w:r>
      <w:r w:rsidRPr="002A6F9B">
        <w:rPr>
          <w:rFonts w:ascii="Arial" w:hAnsi="Arial" w:cs="Arial"/>
          <w:sz w:val="20"/>
          <w:szCs w:val="20"/>
        </w:rPr>
        <w:t xml:space="preserve"> of the </w:t>
      </w:r>
      <w:r w:rsidR="002A6F9B" w:rsidRPr="002A6F9B">
        <w:rPr>
          <w:rFonts w:ascii="Arial" w:hAnsi="Arial" w:cs="Arial"/>
          <w:sz w:val="20"/>
          <w:szCs w:val="20"/>
        </w:rPr>
        <w:t>RFP</w:t>
      </w:r>
      <w:r>
        <w:rPr>
          <w:rFonts w:ascii="Arial" w:hAnsi="Arial" w:cs="Arial"/>
          <w:sz w:val="20"/>
          <w:szCs w:val="20"/>
        </w:rPr>
        <w:t>.</w:t>
      </w:r>
      <w:r w:rsidR="00C36E63">
        <w:rPr>
          <w:rFonts w:ascii="Arial" w:hAnsi="Arial" w:cs="Arial"/>
          <w:sz w:val="20"/>
          <w:szCs w:val="20"/>
        </w:rPr>
        <w:t xml:space="preserve"> </w:t>
      </w:r>
      <w:r w:rsidR="000D1B06">
        <w:rPr>
          <w:rFonts w:ascii="Arial" w:hAnsi="Arial" w:cs="Arial"/>
          <w:sz w:val="20"/>
          <w:szCs w:val="20"/>
        </w:rPr>
        <w:t>In any case, t</w:t>
      </w:r>
      <w:r w:rsidR="00CA6755">
        <w:rPr>
          <w:rFonts w:ascii="Arial" w:hAnsi="Arial" w:cs="Arial"/>
          <w:sz w:val="20"/>
          <w:szCs w:val="20"/>
        </w:rPr>
        <w:t xml:space="preserve">he Parties shall </w:t>
      </w:r>
      <w:r w:rsidR="00C36E63">
        <w:rPr>
          <w:rFonts w:ascii="Arial" w:hAnsi="Arial" w:cs="Arial"/>
          <w:sz w:val="20"/>
          <w:szCs w:val="20"/>
        </w:rPr>
        <w:t xml:space="preserve">update this </w:t>
      </w:r>
      <w:r w:rsidR="00CA6755">
        <w:rPr>
          <w:rFonts w:ascii="Arial" w:hAnsi="Arial" w:cs="Arial"/>
          <w:sz w:val="20"/>
          <w:szCs w:val="20"/>
        </w:rPr>
        <w:t>schedule</w:t>
      </w:r>
      <w:r w:rsidR="00C36E63">
        <w:rPr>
          <w:rFonts w:ascii="Arial" w:hAnsi="Arial" w:cs="Arial"/>
          <w:sz w:val="20"/>
          <w:szCs w:val="20"/>
        </w:rPr>
        <w:t xml:space="preserve"> with</w:t>
      </w:r>
      <w:r w:rsidR="00CA6755">
        <w:rPr>
          <w:rFonts w:ascii="Arial" w:hAnsi="Arial" w:cs="Arial"/>
          <w:sz w:val="20"/>
          <w:szCs w:val="20"/>
        </w:rPr>
        <w:t xml:space="preserve"> the total number of callers and hours at leas</w:t>
      </w:r>
      <w:r w:rsidR="00AC5648">
        <w:rPr>
          <w:rFonts w:ascii="Arial" w:hAnsi="Arial" w:cs="Arial"/>
          <w:sz w:val="20"/>
          <w:szCs w:val="20"/>
        </w:rPr>
        <w:t xml:space="preserve">t </w:t>
      </w:r>
      <w:r w:rsidR="00696962">
        <w:rPr>
          <w:rFonts w:ascii="Arial" w:hAnsi="Arial" w:cs="Arial"/>
          <w:sz w:val="20"/>
          <w:szCs w:val="20"/>
        </w:rPr>
        <w:t>three</w:t>
      </w:r>
      <w:r w:rsidR="00AC5648">
        <w:rPr>
          <w:rFonts w:ascii="Arial" w:hAnsi="Arial" w:cs="Arial"/>
          <w:sz w:val="20"/>
          <w:szCs w:val="20"/>
        </w:rPr>
        <w:t xml:space="preserve"> </w:t>
      </w:r>
      <w:r w:rsidR="002A6F9B">
        <w:rPr>
          <w:rFonts w:ascii="Arial" w:hAnsi="Arial" w:cs="Arial"/>
          <w:sz w:val="20"/>
          <w:szCs w:val="20"/>
        </w:rPr>
        <w:t xml:space="preserve">(3) </w:t>
      </w:r>
      <w:r w:rsidR="00AC5648">
        <w:rPr>
          <w:rFonts w:ascii="Arial" w:hAnsi="Arial" w:cs="Arial"/>
          <w:sz w:val="20"/>
          <w:szCs w:val="20"/>
        </w:rPr>
        <w:t>calendar days</w:t>
      </w:r>
      <w:r w:rsidR="00CA6755">
        <w:rPr>
          <w:rFonts w:ascii="Arial" w:hAnsi="Arial" w:cs="Arial"/>
          <w:sz w:val="20"/>
          <w:szCs w:val="20"/>
        </w:rPr>
        <w:t xml:space="preserve"> in </w:t>
      </w:r>
      <w:proofErr w:type="gramStart"/>
      <w:r w:rsidR="00CA6755">
        <w:rPr>
          <w:rFonts w:ascii="Arial" w:hAnsi="Arial" w:cs="Arial"/>
          <w:sz w:val="20"/>
          <w:szCs w:val="20"/>
        </w:rPr>
        <w:t>advance</w:t>
      </w:r>
      <w:r w:rsidR="00C36E63">
        <w:rPr>
          <w:rFonts w:ascii="Arial" w:hAnsi="Arial" w:cs="Arial"/>
          <w:sz w:val="20"/>
          <w:szCs w:val="20"/>
        </w:rPr>
        <w:t>, but</w:t>
      </w:r>
      <w:proofErr w:type="gramEnd"/>
      <w:r w:rsidR="00C36E63">
        <w:rPr>
          <w:rFonts w:ascii="Arial" w:hAnsi="Arial" w:cs="Arial"/>
          <w:sz w:val="20"/>
          <w:szCs w:val="20"/>
        </w:rPr>
        <w:t xml:space="preserve"> may schedule farther out as desired</w:t>
      </w:r>
      <w:r w:rsidR="00CA6755">
        <w:rPr>
          <w:rFonts w:ascii="Arial" w:hAnsi="Arial" w:cs="Arial"/>
          <w:sz w:val="20"/>
          <w:szCs w:val="20"/>
        </w:rPr>
        <w:t>.</w:t>
      </w:r>
      <w:r w:rsidR="00C36E63">
        <w:rPr>
          <w:rFonts w:ascii="Arial" w:hAnsi="Arial" w:cs="Arial"/>
          <w:sz w:val="20"/>
          <w:szCs w:val="20"/>
        </w:rPr>
        <w:t xml:space="preserve"> Any changes </w:t>
      </w:r>
      <w:r w:rsidR="000D1B06">
        <w:rPr>
          <w:rFonts w:ascii="Arial" w:hAnsi="Arial" w:cs="Arial"/>
          <w:sz w:val="20"/>
          <w:szCs w:val="20"/>
        </w:rPr>
        <w:t xml:space="preserve">to a </w:t>
      </w:r>
      <w:proofErr w:type="gramStart"/>
      <w:r w:rsidR="000D1B06">
        <w:rPr>
          <w:rFonts w:ascii="Arial" w:hAnsi="Arial" w:cs="Arial"/>
          <w:sz w:val="20"/>
          <w:szCs w:val="20"/>
        </w:rPr>
        <w:t>previously-agreed</w:t>
      </w:r>
      <w:proofErr w:type="gramEnd"/>
      <w:r w:rsidR="000D1B06">
        <w:rPr>
          <w:rFonts w:ascii="Arial" w:hAnsi="Arial" w:cs="Arial"/>
          <w:sz w:val="20"/>
          <w:szCs w:val="20"/>
        </w:rPr>
        <w:t xml:space="preserve"> upon</w:t>
      </w:r>
      <w:r w:rsidR="00C36E63">
        <w:rPr>
          <w:rFonts w:ascii="Arial" w:hAnsi="Arial" w:cs="Arial"/>
          <w:sz w:val="20"/>
          <w:szCs w:val="20"/>
        </w:rPr>
        <w:t xml:space="preserve"> schedule must be </w:t>
      </w:r>
      <w:r w:rsidR="00F4394D">
        <w:rPr>
          <w:rFonts w:ascii="Arial" w:hAnsi="Arial" w:cs="Arial"/>
          <w:sz w:val="20"/>
          <w:szCs w:val="20"/>
        </w:rPr>
        <w:t>agreed to</w:t>
      </w:r>
      <w:r w:rsidR="00C36E63">
        <w:rPr>
          <w:rFonts w:ascii="Arial" w:hAnsi="Arial" w:cs="Arial"/>
          <w:sz w:val="20"/>
          <w:szCs w:val="20"/>
        </w:rPr>
        <w:t xml:space="preserve"> no less tha</w:t>
      </w:r>
      <w:r w:rsidR="00AC5648">
        <w:rPr>
          <w:rFonts w:ascii="Arial" w:hAnsi="Arial" w:cs="Arial"/>
          <w:sz w:val="20"/>
          <w:szCs w:val="20"/>
        </w:rPr>
        <w:t xml:space="preserve">n seven </w:t>
      </w:r>
      <w:r w:rsidR="002A6F9B">
        <w:rPr>
          <w:rFonts w:ascii="Arial" w:hAnsi="Arial" w:cs="Arial"/>
          <w:sz w:val="20"/>
          <w:szCs w:val="20"/>
        </w:rPr>
        <w:t xml:space="preserve">(7) </w:t>
      </w:r>
      <w:r w:rsidR="00AC5648">
        <w:rPr>
          <w:rFonts w:ascii="Arial" w:hAnsi="Arial" w:cs="Arial"/>
          <w:sz w:val="20"/>
          <w:szCs w:val="20"/>
        </w:rPr>
        <w:t>calendar days</w:t>
      </w:r>
      <w:r w:rsidR="00C36E63">
        <w:rPr>
          <w:rFonts w:ascii="Arial" w:hAnsi="Arial" w:cs="Arial"/>
          <w:sz w:val="20"/>
          <w:szCs w:val="20"/>
        </w:rPr>
        <w:t xml:space="preserve"> in advance.</w:t>
      </w:r>
    </w:p>
    <w:p w14:paraId="6C280909" w14:textId="77777777" w:rsidR="00F94275" w:rsidRDefault="00F94275" w:rsidP="00F9427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55"/>
        <w:gridCol w:w="3241"/>
        <w:gridCol w:w="3054"/>
      </w:tblGrid>
      <w:tr w:rsidR="00F94275" w14:paraId="04DF104A" w14:textId="77777777" w:rsidTr="007D2BCB">
        <w:tc>
          <w:tcPr>
            <w:tcW w:w="3055" w:type="dxa"/>
          </w:tcPr>
          <w:p w14:paraId="56EF7EDA" w14:textId="77777777" w:rsidR="00F94275" w:rsidRPr="00F94275" w:rsidRDefault="00F94275" w:rsidP="005E22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5E2201">
              <w:rPr>
                <w:rFonts w:ascii="Arial" w:hAnsi="Arial" w:cs="Arial"/>
                <w:b/>
                <w:sz w:val="20"/>
                <w:szCs w:val="20"/>
              </w:rPr>
              <w:t>ays</w:t>
            </w:r>
          </w:p>
        </w:tc>
        <w:tc>
          <w:tcPr>
            <w:tcW w:w="3241" w:type="dxa"/>
          </w:tcPr>
          <w:p w14:paraId="3CE25048" w14:textId="77777777" w:rsidR="00F94275" w:rsidRPr="00F94275" w:rsidRDefault="00F94275" w:rsidP="00F94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4275">
              <w:rPr>
                <w:rFonts w:ascii="Arial" w:hAnsi="Arial" w:cs="Arial"/>
                <w:b/>
                <w:sz w:val="20"/>
                <w:szCs w:val="20"/>
              </w:rPr>
              <w:t>Total Number of Callers</w:t>
            </w:r>
          </w:p>
        </w:tc>
        <w:tc>
          <w:tcPr>
            <w:tcW w:w="3054" w:type="dxa"/>
          </w:tcPr>
          <w:p w14:paraId="512EA0E3" w14:textId="77777777" w:rsidR="00F94275" w:rsidRPr="00F94275" w:rsidRDefault="005E2201" w:rsidP="00F94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Daily Hour Schedule</w:t>
            </w:r>
          </w:p>
        </w:tc>
      </w:tr>
      <w:tr w:rsidR="00207699" w14:paraId="7FDD3FD4" w14:textId="77777777" w:rsidTr="007D2BCB">
        <w:tc>
          <w:tcPr>
            <w:tcW w:w="3055" w:type="dxa"/>
          </w:tcPr>
          <w:p w14:paraId="17C1BB6F" w14:textId="644DEAAA" w:rsidR="00207699" w:rsidRPr="00207699" w:rsidRDefault="00207699" w:rsidP="002076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E404B04" w14:textId="0E1F5D60" w:rsidR="00207699" w:rsidRPr="00207699" w:rsidRDefault="00207699" w:rsidP="002076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038AD36A" w14:textId="0564FBDF" w:rsidR="00207699" w:rsidRDefault="00207699" w:rsidP="0020769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7699" w14:paraId="29A68C04" w14:textId="77777777" w:rsidTr="007D2BCB">
        <w:tc>
          <w:tcPr>
            <w:tcW w:w="3055" w:type="dxa"/>
          </w:tcPr>
          <w:p w14:paraId="12255AF7" w14:textId="636236F9" w:rsidR="00207699" w:rsidRPr="00207699" w:rsidRDefault="00207699" w:rsidP="002076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3E1F5E91" w14:textId="068CD208" w:rsidR="00207699" w:rsidRPr="00207699" w:rsidRDefault="00207699" w:rsidP="002076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547BBA4A" w14:textId="1C305DD7" w:rsidR="00207699" w:rsidRPr="00095B59" w:rsidRDefault="00207699" w:rsidP="00095B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699" w14:paraId="7F227707" w14:textId="77777777" w:rsidTr="007D2BCB">
        <w:tc>
          <w:tcPr>
            <w:tcW w:w="3055" w:type="dxa"/>
          </w:tcPr>
          <w:p w14:paraId="79DD7FB2" w14:textId="17E64F5C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4178D496" w14:textId="46F74A33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53806152" w14:textId="49E3E5E4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699" w14:paraId="005CE02E" w14:textId="77777777" w:rsidTr="007D2BCB">
        <w:tc>
          <w:tcPr>
            <w:tcW w:w="3055" w:type="dxa"/>
          </w:tcPr>
          <w:p w14:paraId="2BBB8BD3" w14:textId="31C56F8F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54EFEFB3" w14:textId="228DB780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13CB7BE6" w14:textId="797F452D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699" w14:paraId="445E4BCC" w14:textId="77777777" w:rsidTr="007D2BCB">
        <w:tc>
          <w:tcPr>
            <w:tcW w:w="3055" w:type="dxa"/>
          </w:tcPr>
          <w:p w14:paraId="29F68456" w14:textId="0BA70ED9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13FB234" w14:textId="342BB40C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33A4625D" w14:textId="7E55946A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699" w14:paraId="12043812" w14:textId="77777777" w:rsidTr="007D2BCB">
        <w:tc>
          <w:tcPr>
            <w:tcW w:w="3055" w:type="dxa"/>
          </w:tcPr>
          <w:p w14:paraId="04C7B11A" w14:textId="28ECB32B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BE1DFEC" w14:textId="1E9DDB24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23586AC1" w14:textId="22F1502F" w:rsidR="00207699" w:rsidRDefault="00207699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4A4016E2" w14:textId="77777777" w:rsidTr="007D2BCB">
        <w:tc>
          <w:tcPr>
            <w:tcW w:w="3055" w:type="dxa"/>
          </w:tcPr>
          <w:p w14:paraId="7C80A8F7" w14:textId="46F200CD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6EDF13DF" w14:textId="3CEC0E6B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7F0A53DC" w14:textId="1BA2503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29635D83" w14:textId="77777777" w:rsidTr="007D2BCB">
        <w:tc>
          <w:tcPr>
            <w:tcW w:w="3055" w:type="dxa"/>
          </w:tcPr>
          <w:p w14:paraId="17BAAE9A" w14:textId="2D691D0E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6FC8FCE5" w14:textId="51EDDDF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0C9ACAD1" w14:textId="4D15A1D2" w:rsidR="00F94275" w:rsidRDefault="00F94275" w:rsidP="002076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46871E15" w14:textId="77777777" w:rsidTr="007D2BCB">
        <w:tc>
          <w:tcPr>
            <w:tcW w:w="3055" w:type="dxa"/>
          </w:tcPr>
          <w:p w14:paraId="64073D29" w14:textId="5ED742B3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4C22E2E" w14:textId="0ADD1765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28725DD9" w14:textId="348C7123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30B636E4" w14:textId="77777777" w:rsidTr="007D2BCB">
        <w:tc>
          <w:tcPr>
            <w:tcW w:w="3055" w:type="dxa"/>
          </w:tcPr>
          <w:p w14:paraId="4899D3B6" w14:textId="0326B209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505BBCEA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6A6B4801" w14:textId="79D43D33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42DCF17A" w14:textId="77777777" w:rsidTr="007D2BCB">
        <w:tc>
          <w:tcPr>
            <w:tcW w:w="3055" w:type="dxa"/>
          </w:tcPr>
          <w:p w14:paraId="59648B37" w14:textId="7E88B10C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13D9447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326E0C5C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32D8BFC2" w14:textId="77777777" w:rsidTr="007D2BCB">
        <w:tc>
          <w:tcPr>
            <w:tcW w:w="3055" w:type="dxa"/>
          </w:tcPr>
          <w:p w14:paraId="3128A24F" w14:textId="5CFD18E3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EE78FB4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1480F8E2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55EA51BF" w14:textId="77777777" w:rsidTr="007D2BCB">
        <w:tc>
          <w:tcPr>
            <w:tcW w:w="3055" w:type="dxa"/>
          </w:tcPr>
          <w:p w14:paraId="40413E28" w14:textId="74B0B339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21FA65B7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1E1CE783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433FFEA9" w14:textId="77777777" w:rsidTr="007D2BCB">
        <w:tc>
          <w:tcPr>
            <w:tcW w:w="3055" w:type="dxa"/>
          </w:tcPr>
          <w:p w14:paraId="194EFF54" w14:textId="39D88E1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6A6056C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2A2AB3C9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66F83F67" w14:textId="77777777" w:rsidTr="007D2BCB">
        <w:tc>
          <w:tcPr>
            <w:tcW w:w="3055" w:type="dxa"/>
          </w:tcPr>
          <w:p w14:paraId="09196EAB" w14:textId="43CFCFE9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2FB73E5C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23E017A8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4AD9F105" w14:textId="77777777" w:rsidTr="007D2BCB">
        <w:tc>
          <w:tcPr>
            <w:tcW w:w="3055" w:type="dxa"/>
          </w:tcPr>
          <w:p w14:paraId="5CA5352C" w14:textId="16680965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48F5C242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172A3FB0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036E8EAC" w14:textId="77777777" w:rsidTr="007D2BCB">
        <w:tc>
          <w:tcPr>
            <w:tcW w:w="3055" w:type="dxa"/>
          </w:tcPr>
          <w:p w14:paraId="26001B7E" w14:textId="303D22D0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6D2B7FF8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38D94D12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0FC18BA6" w14:textId="77777777" w:rsidTr="007D2BCB">
        <w:tc>
          <w:tcPr>
            <w:tcW w:w="3055" w:type="dxa"/>
          </w:tcPr>
          <w:p w14:paraId="43641BE0" w14:textId="346D451A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28E2D79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537377A3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41CECD5C" w14:textId="77777777" w:rsidTr="007D2BCB">
        <w:tc>
          <w:tcPr>
            <w:tcW w:w="3055" w:type="dxa"/>
          </w:tcPr>
          <w:p w14:paraId="0F171435" w14:textId="5F00D17B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36EF1E0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5241CFD4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33CA455A" w14:textId="77777777" w:rsidTr="007D2BCB">
        <w:tc>
          <w:tcPr>
            <w:tcW w:w="3055" w:type="dxa"/>
          </w:tcPr>
          <w:p w14:paraId="35A917FE" w14:textId="3D71501F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330A2F62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28C8A0B7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75" w14:paraId="168D8B29" w14:textId="77777777" w:rsidTr="007D2BCB">
        <w:tc>
          <w:tcPr>
            <w:tcW w:w="3055" w:type="dxa"/>
          </w:tcPr>
          <w:p w14:paraId="71D3625D" w14:textId="3F1B9971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55716D5D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7B7D720E" w14:textId="77777777" w:rsidR="00F94275" w:rsidRDefault="00F94275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01" w14:paraId="2FE799DC" w14:textId="77777777" w:rsidTr="007D2BCB">
        <w:tc>
          <w:tcPr>
            <w:tcW w:w="3055" w:type="dxa"/>
          </w:tcPr>
          <w:p w14:paraId="4F2051FA" w14:textId="20DA5846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25F5B27F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5DCD8156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01" w14:paraId="1CA506BD" w14:textId="77777777" w:rsidTr="007D2BCB">
        <w:tc>
          <w:tcPr>
            <w:tcW w:w="3055" w:type="dxa"/>
          </w:tcPr>
          <w:p w14:paraId="630649B0" w14:textId="73792F32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345CAB2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277DB567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01" w14:paraId="406EF77E" w14:textId="77777777" w:rsidTr="007D2BCB">
        <w:tc>
          <w:tcPr>
            <w:tcW w:w="3055" w:type="dxa"/>
          </w:tcPr>
          <w:p w14:paraId="020054BC" w14:textId="0B149318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61BF5C21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053E41CD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01" w14:paraId="3F105D2F" w14:textId="77777777" w:rsidTr="007D2BCB">
        <w:tc>
          <w:tcPr>
            <w:tcW w:w="3055" w:type="dxa"/>
          </w:tcPr>
          <w:p w14:paraId="7C196214" w14:textId="2F5BB1FF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74D49A24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1B2A411B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01" w14:paraId="06FDFD99" w14:textId="77777777" w:rsidTr="007D2BCB">
        <w:tc>
          <w:tcPr>
            <w:tcW w:w="3055" w:type="dxa"/>
          </w:tcPr>
          <w:p w14:paraId="71D3ACA3" w14:textId="6BC858E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6092DDE0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7D56D388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201" w14:paraId="3E546ED1" w14:textId="77777777" w:rsidTr="007D2BCB">
        <w:tc>
          <w:tcPr>
            <w:tcW w:w="3055" w:type="dxa"/>
          </w:tcPr>
          <w:p w14:paraId="58F68D5A" w14:textId="00078AE3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1" w:type="dxa"/>
          </w:tcPr>
          <w:p w14:paraId="0599AD6F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</w:tcPr>
          <w:p w14:paraId="739F38D6" w14:textId="77777777" w:rsidR="005E2201" w:rsidRDefault="005E2201" w:rsidP="00F942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2C122E" w14:textId="4AC4284C" w:rsidR="008A36C9" w:rsidRDefault="008A36C9" w:rsidP="00F94275">
      <w:pPr>
        <w:jc w:val="both"/>
        <w:rPr>
          <w:rFonts w:ascii="Arial" w:hAnsi="Arial" w:cs="Arial"/>
          <w:sz w:val="20"/>
          <w:szCs w:val="20"/>
        </w:rPr>
      </w:pPr>
    </w:p>
    <w:p w14:paraId="4B2E501C" w14:textId="77777777" w:rsidR="00F94275" w:rsidRPr="00F94275" w:rsidRDefault="00F94275" w:rsidP="00F94275">
      <w:pPr>
        <w:jc w:val="both"/>
        <w:rPr>
          <w:rFonts w:ascii="Arial" w:hAnsi="Arial" w:cs="Arial"/>
          <w:sz w:val="20"/>
          <w:szCs w:val="20"/>
        </w:rPr>
      </w:pPr>
    </w:p>
    <w:sectPr w:rsidR="00F94275" w:rsidRPr="00F94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F229" w14:textId="77777777" w:rsidR="00405DFE" w:rsidRDefault="00405DFE" w:rsidP="00902616">
      <w:pPr>
        <w:spacing w:after="0" w:line="240" w:lineRule="auto"/>
      </w:pPr>
      <w:r>
        <w:separator/>
      </w:r>
    </w:p>
  </w:endnote>
  <w:endnote w:type="continuationSeparator" w:id="0">
    <w:p w14:paraId="57791EBA" w14:textId="77777777" w:rsidR="00405DFE" w:rsidRDefault="00405DFE" w:rsidP="00902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0C8F9" w14:textId="77777777" w:rsidR="00405DFE" w:rsidRDefault="00405DFE" w:rsidP="00902616">
      <w:pPr>
        <w:spacing w:after="0" w:line="240" w:lineRule="auto"/>
      </w:pPr>
      <w:r>
        <w:separator/>
      </w:r>
    </w:p>
  </w:footnote>
  <w:footnote w:type="continuationSeparator" w:id="0">
    <w:p w14:paraId="75844108" w14:textId="77777777" w:rsidR="00405DFE" w:rsidRDefault="00405DFE" w:rsidP="00902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75"/>
    <w:rsid w:val="00095B59"/>
    <w:rsid w:val="000D1B06"/>
    <w:rsid w:val="000E3516"/>
    <w:rsid w:val="001208CF"/>
    <w:rsid w:val="00207699"/>
    <w:rsid w:val="002805DA"/>
    <w:rsid w:val="00295340"/>
    <w:rsid w:val="002A6F9B"/>
    <w:rsid w:val="0037286C"/>
    <w:rsid w:val="003F0C6B"/>
    <w:rsid w:val="00405DFE"/>
    <w:rsid w:val="004E7DE2"/>
    <w:rsid w:val="0054519F"/>
    <w:rsid w:val="005B27BA"/>
    <w:rsid w:val="005C1B51"/>
    <w:rsid w:val="005E2201"/>
    <w:rsid w:val="006425A4"/>
    <w:rsid w:val="00696962"/>
    <w:rsid w:val="007A53F4"/>
    <w:rsid w:val="007D2BCB"/>
    <w:rsid w:val="008A36C9"/>
    <w:rsid w:val="00902616"/>
    <w:rsid w:val="00AB04F7"/>
    <w:rsid w:val="00AC5648"/>
    <w:rsid w:val="00AF36A2"/>
    <w:rsid w:val="00B656F3"/>
    <w:rsid w:val="00C36E63"/>
    <w:rsid w:val="00CA37C7"/>
    <w:rsid w:val="00CA6755"/>
    <w:rsid w:val="00DE7A34"/>
    <w:rsid w:val="00F11253"/>
    <w:rsid w:val="00F35CF7"/>
    <w:rsid w:val="00F4394D"/>
    <w:rsid w:val="00F560BD"/>
    <w:rsid w:val="00F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0E94E6"/>
  <w15:chartTrackingRefBased/>
  <w15:docId w15:val="{CEEEE165-FB63-4722-B4CF-F8CDEA94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E35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7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D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D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D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16"/>
  </w:style>
  <w:style w:type="paragraph" w:styleId="Footer">
    <w:name w:val="footer"/>
    <w:basedOn w:val="Normal"/>
    <w:link w:val="FooterChar"/>
    <w:uiPriority w:val="99"/>
    <w:unhideWhenUsed/>
    <w:rsid w:val="00902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616"/>
  </w:style>
  <w:style w:type="paragraph" w:styleId="NoSpacing">
    <w:name w:val="No Spacing"/>
    <w:uiPriority w:val="1"/>
    <w:qFormat/>
    <w:rsid w:val="008A36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Keith Roland</DisplayName>
        <AccountId>1855</AccountId>
        <AccountType/>
      </UserInfo>
    </Buyer>
    <Legal_x0020_Approval xmlns="e3709f45-ee57-4ddf-8078-855eb8d761aa" xsi:nil="true"/>
    <Programs xmlns="145fd85a-e86f-4392-ab15-fd3ffc15a3e1" xsi:nil="true"/>
    <Deviation xmlns="145fd85a-e86f-4392-ab15-fd3ffc15a3e1">No</Deviation>
    <Date_x0020_Sent_x0020_for_x0020_PROC_x0020_Review xmlns="145fd85a-e86f-4392-ab15-fd3ffc15a3e1" xsi:nil="true"/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 xsi:nil="true"/>
    <Stakeholders xmlns="145fd85a-e86f-4392-ab15-fd3ffc15a3e1">
      <UserInfo>
        <DisplayName>Holly Glasgow</DisplayName>
        <AccountId>18441</AccountId>
        <AccountType/>
      </UserInfo>
      <UserInfo>
        <DisplayName>Jeff Fry</DisplayName>
        <AccountId>20148</AccountId>
        <AccountType/>
      </UserInfo>
      <UserInfo>
        <DisplayName>Marie De Martinez</DisplayName>
        <AccountId>20385</AccountId>
        <AccountType/>
      </UserInfo>
    </Stakeholders>
    <Release_x0020_Date xmlns="145fd85a-e86f-4392-ab15-fd3ffc15a3e1" xsi:nil="true"/>
    <Est._x0020__x0024__x0020_Amount xmlns="145fd85a-e86f-4392-ab15-fd3ffc15a3e1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/>
        <AccountId xsi:nil="true"/>
        <AccountType/>
      </UserInfo>
    </RFP_x0020_Contacts>
    <DAS_x0020_Buyer xmlns="145fd85a-e86f-4392-ab15-fd3ffc15a3e1" xsi:nil="true"/>
    <Cost_x0020_Avoidance xmlns="145fd85a-e86f-4392-ab15-fd3ffc15a3e1" xsi:nil="true"/>
    <Procurement_x0020_Contact xmlns="145fd85a-e86f-4392-ab15-fd3ffc15a3e1" xsi:nil="true"/>
    <Divisions xmlns="145fd85a-e86f-4392-ab15-fd3ffc15a3e1">
      <Value>Public Health</Value>
    </Divisions>
    <RFP_x0020_Status xmlns="145fd85a-e86f-4392-ab15-fd3ffc15a3e1">Legal Review</RFP_x0020_Status>
    <Target_x0020_Date xmlns="145fd85a-e86f-4392-ab15-fd3ffc15a3e1" xsi:nil="true"/>
    <Attachments_x003f_ xmlns="145fd85a-e86f-4392-ab15-fd3ffc15a3e1">Yes, Final Document</Attachments_x003f_>
    <SPB_x0020_Processed xmlns="145fd85a-e86f-4392-ab15-fd3ffc15a3e1">SPB</SPB_x0020_Processed>
    <Cost_x0020_Avoidance_x0020_Method xmlns="145fd85a-e86f-4392-ab15-fd3ffc15a3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C9DE180D87D43A76FB431772754C3" ma:contentTypeVersion="18" ma:contentTypeDescription="Create a new document." ma:contentTypeScope="" ma:versionID="9b853ea320ddb753ea8dddb939f21146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4007fd856adc27ebd3b5e501f9ddec0c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Procurement_x0020_Contact" minOccurs="0"/>
                <xsd:element ref="ns2:Procurement_x0020_Contact_x003a_E-mail_x0020_Address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8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8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11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12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3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14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15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6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7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9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20" nillable="true" ma:displayName="Processed By" ma:default="SPB" ma:description="Defaults to SPB (State Purchasing). In some instances item(s) may be processed by agency (this is rare and requires additional approval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21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ITB"/>
          <xsd:enumeration value="Deviation"/>
          <xsd:enumeration value="POOL"/>
          <xsd:enumeration value="Future"/>
        </xsd:restriction>
      </xsd:simpleType>
    </xsd:element>
    <xsd:element name="Programs" ma:index="2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23" nillable="true" ma:displayName="Bid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24" nillable="true" ma:displayName="Buyer" ma:description="DHHS Buyer assignment - UPDATED BY PROCUREMENT ONLY" ma:list="UserInfo" ma:SharePointGroup="0" ma:internalName="Buy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25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7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Procurement_x0020_Contact" ma:index="28" nillable="true" ma:displayName="Procurement Contact" ma:list="{0ff31e51-d13c-4777-8ff6-56a65292f0cd}" ma:internalName="Procurement_x0020_Contact" ma:readOnly="false" ma:showField="FullName" ma:web="145fd85a-e86f-4392-ab15-fd3ffc15a3e1">
      <xsd:simpleType>
        <xsd:restriction base="dms:Lookup"/>
      </xsd:simpleType>
    </xsd:element>
    <xsd:element name="Procurement_x0020_Contact_x003a_E-mail_x0020_Address" ma:index="29" nillable="true" ma:displayName="Procurement Contact:E-mail Address" ma:list="{0ff31e51-d13c-4777-8ff6-56a65292f0cd}" ma:internalName="Procurement_x0020_Contact_x003A_E_x002d_mail_x0020_Address" ma:readOnly="true" ma:showField="Email" ma:web="145fd85a-e86f-4392-ab15-fd3ffc15a3e1">
      <xsd:simpleType>
        <xsd:restriction base="dms:Lookup"/>
      </xsd:simpleType>
    </xsd:element>
    <xsd:element name="Date_x0020_Sent_x0020_for_x0020_PROC_x0020_Review" ma:index="30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31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32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33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9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49D7441-574C-4E7D-8A70-66D635C73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1B6AF-4C7F-4DDB-B04F-CB33C1A2D640}">
  <ds:schemaRefs>
    <ds:schemaRef ds:uri="http://purl.org/dc/elements/1.1/"/>
    <ds:schemaRef ds:uri="e3709f45-ee57-4ddf-8078-855eb8d761aa"/>
    <ds:schemaRef ds:uri="http://purl.org/dc/dcmitype/"/>
    <ds:schemaRef ds:uri="http://schemas.microsoft.com/office/infopath/2007/PartnerControls"/>
    <ds:schemaRef ds:uri="145fd85a-e86f-4392-ab15-fd3ffc15a3e1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4C16FE-1F31-4BDD-B9D5-452FE934C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034DC-68C9-472A-8BA2-E38DA80BB10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Walklin</dc:creator>
  <cp:keywords/>
  <dc:description/>
  <cp:lastModifiedBy>Heinrichs, Connie</cp:lastModifiedBy>
  <cp:revision>5</cp:revision>
  <cp:lastPrinted>2020-06-08T13:22:00Z</cp:lastPrinted>
  <dcterms:created xsi:type="dcterms:W3CDTF">2020-10-28T20:55:00Z</dcterms:created>
  <dcterms:modified xsi:type="dcterms:W3CDTF">2020-11-12T19:13:00Z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-2129874143</vt:i4>
  </property>
  <property fmtid="{D5CDD505-2E9C-101B-9397-08002B2CF9AE}" pid="3" name="_NewReviewCycle">
    <vt:lpwstr/>
  </property>
  <property fmtid="{D5CDD505-2E9C-101B-9397-08002B2CF9AE}" pid="4" name="_EmailSubject">
    <vt:lpwstr>Statement of Work Clarification</vt:lpwstr>
  </property>
  <property fmtid="{D5CDD505-2E9C-101B-9397-08002B2CF9AE}" pid="5" name="_AuthorEmail">
    <vt:lpwstr>Blake.Hendrickson@nebraska.gov</vt:lpwstr>
  </property>
  <property fmtid="{D5CDD505-2E9C-101B-9397-08002B2CF9AE}" pid="6" name="_AuthorEmailDisplayName">
    <vt:lpwstr>Hendrickson, Blake</vt:lpwstr>
  </property>
  <property fmtid="{D5CDD505-2E9C-101B-9397-08002B2CF9AE}" pid="7" name="_PreviousAdHocReviewCycleID">
    <vt:i4>-1574196823</vt:i4>
  </property>
  <property fmtid="{D5CDD505-2E9C-101B-9397-08002B2CF9AE}" pid="8" name="_ReviewingToolsShownOnce">
    <vt:lpwstr/>
  </property>
  <property fmtid="{D5CDD505-2E9C-101B-9397-08002B2CF9AE}" pid="9" name="ContentTypeId">
    <vt:lpwstr>0x010100364C9DE180D87D43A76FB431772754C3</vt:lpwstr>
  </property>
  <property fmtid="{D5CDD505-2E9C-101B-9397-08002B2CF9AE}" pid="10" name="_docset_NoMedatataSyncRequired">
    <vt:lpwstr>False</vt:lpwstr>
  </property>
</Properties>
</file>